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Министерство образования и науки РБ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Комитет по образованию г. Улан-Удэ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143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Золотая рыбка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6"/>
          <w:shd w:fill="auto" w:val="clear"/>
        </w:rPr>
        <w:t xml:space="preserve">Конспект "Тепло традиций"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  <w:t xml:space="preserve">Правила семьи, активный образ жизни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Инструктор по физвоспитанию: Бокань Н.В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2023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Цель: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Формировать ценностные представления о семье, семейных традициях, уважения к своей семье.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- создать настрой на совместную деятельность, установить эмоциональный контакт между всеми участниками;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- активизировать двигательную деятельность и внимание через игровую ситуацию;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- воспитывать нравственные качества личности (чувство дружбы, взаимовыручки, ответственности)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Семья - это дом, где царят понимание и преданность. Это они из всех радости и печали. Все люди на земле мечтают о дружной и крепкой семье.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1. Игра "Водопроводчик"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2. Игра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Весёлый дом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На площадке врассыпную разложены обручи, у детей и взрослых в руках по две ленточки или по два султанчика. Под музыку все двигаются подскоками между обручами, когда музыка останавливается, все занимают любой обруч, и под другую музыку произвольно танцуют.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Ведущий: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Все справились с заданиями, молодцы!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